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4734" w14:textId="77777777" w:rsidR="00415D67" w:rsidRPr="007434B9" w:rsidRDefault="00415D6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6F97" w14:textId="77777777" w:rsidR="004C38DF" w:rsidRPr="007434B9" w:rsidRDefault="007042D5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B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DF186EB" w14:textId="77777777" w:rsidR="007B5F3B" w:rsidRPr="007434B9" w:rsidRDefault="007B5F3B" w:rsidP="007B5F3B">
      <w:pPr>
        <w:tabs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223367456"/>
      <w:r w:rsidRPr="007434B9">
        <w:rPr>
          <w:rFonts w:ascii="Times New Roman" w:hAnsi="Times New Roman" w:cs="Times New Roman"/>
          <w:b/>
          <w:bCs/>
          <w:color w:val="000000"/>
        </w:rPr>
        <w:t>Выполнение работ по приведению в нормативное состояние пешеходных</w:t>
      </w:r>
    </w:p>
    <w:p w14:paraId="05D19A6D" w14:textId="77777777" w:rsidR="007B5F3B" w:rsidRPr="007434B9" w:rsidRDefault="007B5F3B" w:rsidP="007B5F3B">
      <w:pPr>
        <w:tabs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434B9">
        <w:rPr>
          <w:rFonts w:ascii="Times New Roman" w:hAnsi="Times New Roman" w:cs="Times New Roman"/>
          <w:b/>
          <w:bCs/>
          <w:color w:val="000000"/>
        </w:rPr>
        <w:t>переходов вблизи общеобразовательных учреждений, Запорожская область.</w:t>
      </w:r>
    </w:p>
    <w:bookmarkEnd w:id="0"/>
    <w:p w14:paraId="1E87D725" w14:textId="77777777" w:rsidR="004C38DF" w:rsidRPr="007434B9" w:rsidRDefault="004C38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a"/>
        <w:tblW w:w="96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9"/>
        <w:gridCol w:w="6510"/>
      </w:tblGrid>
      <w:tr w:rsidR="004C38DF" w:rsidRPr="007434B9" w14:paraId="11B7D6D5" w14:textId="77777777" w:rsidTr="00F95795">
        <w:tc>
          <w:tcPr>
            <w:tcW w:w="568" w:type="dxa"/>
          </w:tcPr>
          <w:p w14:paraId="5C55606F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9" w:type="dxa"/>
          </w:tcPr>
          <w:p w14:paraId="526172CA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4B9">
              <w:rPr>
                <w:rFonts w:ascii="Times New Roman" w:eastAsia="Calibri" w:hAnsi="Times New Roman" w:cs="Times New Roman"/>
                <w:sz w:val="20"/>
                <w:szCs w:val="20"/>
              </w:rPr>
              <w:t>Заказчик:</w:t>
            </w:r>
          </w:p>
        </w:tc>
        <w:tc>
          <w:tcPr>
            <w:tcW w:w="6510" w:type="dxa"/>
          </w:tcPr>
          <w:p w14:paraId="7F7DA1DF" w14:textId="064F2B2D" w:rsidR="004C38DF" w:rsidRPr="007434B9" w:rsidRDefault="007B5F3B" w:rsidP="004B5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Государственным казенным учреждением Запорожской области «Служба автомобильных дорог Запорожской области»</w:t>
            </w:r>
          </w:p>
        </w:tc>
      </w:tr>
      <w:tr w:rsidR="004C38DF" w:rsidRPr="007434B9" w14:paraId="61D02732" w14:textId="77777777" w:rsidTr="00F95795">
        <w:tc>
          <w:tcPr>
            <w:tcW w:w="568" w:type="dxa"/>
          </w:tcPr>
          <w:p w14:paraId="54B975B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9" w:type="dxa"/>
          </w:tcPr>
          <w:p w14:paraId="69E6644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объекта:</w:t>
            </w:r>
          </w:p>
        </w:tc>
        <w:tc>
          <w:tcPr>
            <w:tcW w:w="6510" w:type="dxa"/>
          </w:tcPr>
          <w:p w14:paraId="46A27786" w14:textId="6E62779F" w:rsidR="004C38DF" w:rsidRPr="007434B9" w:rsidRDefault="004B5596" w:rsidP="004B5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приведению в нормативное состояние пешеходных переходов вблизи общеобразовательных учреждений</w:t>
            </w:r>
          </w:p>
        </w:tc>
      </w:tr>
      <w:tr w:rsidR="004C38DF" w:rsidRPr="007434B9" w14:paraId="59A0A2D7" w14:textId="77777777" w:rsidTr="00F95795">
        <w:tc>
          <w:tcPr>
            <w:tcW w:w="568" w:type="dxa"/>
          </w:tcPr>
          <w:p w14:paraId="097C890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9" w:type="dxa"/>
          </w:tcPr>
          <w:p w14:paraId="09A084B1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Месторасположение объекта:</w:t>
            </w:r>
          </w:p>
        </w:tc>
        <w:tc>
          <w:tcPr>
            <w:tcW w:w="6510" w:type="dxa"/>
          </w:tcPr>
          <w:p w14:paraId="6E0F3CE9" w14:textId="77777777" w:rsidR="004C38DF" w:rsidRPr="007434B9" w:rsidRDefault="007042D5" w:rsidP="004B5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Запорожская область.</w:t>
            </w:r>
          </w:p>
        </w:tc>
      </w:tr>
      <w:tr w:rsidR="004C38DF" w:rsidRPr="007434B9" w14:paraId="2BFA5C56" w14:textId="77777777" w:rsidTr="00F95795">
        <w:tc>
          <w:tcPr>
            <w:tcW w:w="568" w:type="dxa"/>
          </w:tcPr>
          <w:p w14:paraId="0293F70A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9" w:type="dxa"/>
          </w:tcPr>
          <w:p w14:paraId="0178E173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финансирования:</w:t>
            </w:r>
          </w:p>
        </w:tc>
        <w:tc>
          <w:tcPr>
            <w:tcW w:w="6510" w:type="dxa"/>
          </w:tcPr>
          <w:p w14:paraId="156DAFB4" w14:textId="77777777" w:rsidR="004C38DF" w:rsidRPr="007434B9" w:rsidRDefault="007042D5" w:rsidP="004B5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Бюджет Запорожской области</w:t>
            </w:r>
          </w:p>
        </w:tc>
      </w:tr>
      <w:tr w:rsidR="004C38DF" w:rsidRPr="007434B9" w14:paraId="61EEB00F" w14:textId="77777777" w:rsidTr="00F95795">
        <w:trPr>
          <w:trHeight w:val="1453"/>
        </w:trPr>
        <w:tc>
          <w:tcPr>
            <w:tcW w:w="568" w:type="dxa"/>
          </w:tcPr>
          <w:p w14:paraId="3EB50EB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9" w:type="dxa"/>
          </w:tcPr>
          <w:p w14:paraId="430151E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цель и задачи:</w:t>
            </w:r>
          </w:p>
        </w:tc>
        <w:tc>
          <w:tcPr>
            <w:tcW w:w="6510" w:type="dxa"/>
          </w:tcPr>
          <w:p w14:paraId="24AED358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людей на пешеходных переходах в районе общеобразовательных учреждений, упорядочение движения пешеходов и минимизация рисков возникновения дорожно-транспортных происшествий. Организация дорожных знаков и указателей для регулирования движения. Обеспечение технического оснащения пешеходных переходов.</w:t>
            </w:r>
          </w:p>
        </w:tc>
      </w:tr>
      <w:tr w:rsidR="004C38DF" w:rsidRPr="007434B9" w14:paraId="0C333E08" w14:textId="77777777" w:rsidTr="00F95795">
        <w:trPr>
          <w:trHeight w:val="3476"/>
        </w:trPr>
        <w:tc>
          <w:tcPr>
            <w:tcW w:w="568" w:type="dxa"/>
          </w:tcPr>
          <w:p w14:paraId="1CE5082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9" w:type="dxa"/>
          </w:tcPr>
          <w:p w14:paraId="19770F7F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Нормативно-техническая документация, использованная при выполнении работ:</w:t>
            </w:r>
          </w:p>
          <w:p w14:paraId="079A459F" w14:textId="77777777" w:rsidR="004C38DF" w:rsidRPr="007434B9" w:rsidRDefault="004C38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</w:tcPr>
          <w:p w14:paraId="446D8701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      </w:r>
          </w:p>
          <w:p w14:paraId="38E10B94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51256-2018 «Технические средства организации дорожного движения.</w:t>
            </w:r>
          </w:p>
          <w:p w14:paraId="2C85FAEB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Разметка дорожная. Классификация. Технические требования»;</w:t>
            </w:r>
            <w:bookmarkStart w:id="1" w:name="_GoBack"/>
            <w:bookmarkEnd w:id="1"/>
          </w:p>
          <w:p w14:paraId="2AF7CE28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52290-2024 «Технические средства организации дорожного движения. Знаки дорожные. Общие технические требования»;</w:t>
            </w:r>
          </w:p>
          <w:p w14:paraId="7FACA4A0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32945-2014 Дороги автомобильные общего пользования. Знаки дорожные. Технические требования (с Поправками);</w:t>
            </w:r>
          </w:p>
          <w:p w14:paraId="1D349500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32757-2014 Дороги автомобильные общего пользования. Временные технические средства организации дорожного движения. Классификация;</w:t>
            </w:r>
          </w:p>
          <w:p w14:paraId="0544D2AE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32758-2014 Дороги автомобильные общего пользования. Временные технические средства организации дорожного движения. Технические требования и правила применения;</w:t>
            </w:r>
          </w:p>
          <w:p w14:paraId="3C532119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применения»;</w:t>
            </w:r>
          </w:p>
          <w:p w14:paraId="5C298549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32948-2014 «Дороги автомобильные общего пользования. Опоры дорожных знаков. Технические· требования»;</w:t>
            </w:r>
          </w:p>
          <w:p w14:paraId="3FEB2D1E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32947-2014 «Дороги автомобильные общего пользования. Опоры стационарного электрического освещения. Технические требования»;</w:t>
            </w:r>
          </w:p>
          <w:p w14:paraId="3C2EAB72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52766-2007 Дороги автомобильные общего пользования. Элементы обустройства. Общие требования (с Изменениями N 1, 2);</w:t>
            </w:r>
          </w:p>
          <w:p w14:paraId="6573FC32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9.307-2021 Единая система защиты от коррозии и старения. Покрытия цинковые горячие. Общие требования и методы контроля»;</w:t>
            </w:r>
          </w:p>
          <w:p w14:paraId="2D9EE474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 78.13330.2012 «Автомобильные дороги»;</w:t>
            </w:r>
          </w:p>
          <w:p w14:paraId="43AF0B42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58351-2019 «Дороги автомобильные общего пользования. Ограждения дорожные фронтальные, удерживающие боковые комбинированные и удерживающие пешеходные. Общие технические требования. Методы испытаний и контроля. Правила применения.»;</w:t>
            </w:r>
          </w:p>
          <w:p w14:paraId="2D4FCA01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32944- 2014 «Дороги автомобильные общего пользования. Пешеходные переходы. Классификация. Общие требования»;</w:t>
            </w:r>
          </w:p>
          <w:p w14:paraId="690558D6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33176-2014 «Дороги автомобильные общего пользования. Горизонтальная освещенность от искусственного освещения. Технические требования»;</w:t>
            </w:r>
          </w:p>
          <w:p w14:paraId="0D2DE6BB" w14:textId="77777777" w:rsidR="004C38DF" w:rsidRPr="007434B9" w:rsidRDefault="007042D5">
            <w:pPr>
              <w:pStyle w:val="formattext"/>
              <w:widowControl w:val="0"/>
              <w:spacing w:beforeAutospacing="0" w:after="0" w:afterAutospacing="0"/>
              <w:jc w:val="both"/>
              <w:textAlignment w:val="baseline"/>
            </w:pPr>
            <w:r w:rsidRPr="007434B9">
              <w:t>•</w:t>
            </w:r>
            <w:r w:rsidRPr="007434B9">
              <w:tab/>
            </w:r>
            <w:r w:rsidRPr="007434B9">
              <w:rPr>
                <w:rFonts w:eastAsiaTheme="minorHAnsi"/>
                <w:lang w:eastAsia="en-US"/>
              </w:rPr>
              <w:t>ГОСТ Р 70716-2023 «</w:t>
            </w:r>
            <w:r w:rsidRPr="007434B9">
              <w:t>Национальный стандарт российской федерации. Дороги автомобильные и улицы. Безопасность движения пешеходов. Общие требования»;</w:t>
            </w:r>
          </w:p>
          <w:p w14:paraId="34F9575F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ГОСТ Р 55706-2023 «Освещение наружное утилитарное. Классификация и нормы»;</w:t>
            </w:r>
          </w:p>
          <w:p w14:paraId="5C999D45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 52.13330.2016.  «Свод правил. Естественное и искусственное освещение»</w:t>
            </w:r>
          </w:p>
        </w:tc>
      </w:tr>
      <w:tr w:rsidR="004C38DF" w:rsidRPr="007434B9" w14:paraId="03353A57" w14:textId="77777777" w:rsidTr="00F95795">
        <w:tc>
          <w:tcPr>
            <w:tcW w:w="568" w:type="dxa"/>
          </w:tcPr>
          <w:p w14:paraId="24DF63D8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9" w:type="dxa"/>
          </w:tcPr>
          <w:p w14:paraId="29060C05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работ:</w:t>
            </w:r>
          </w:p>
        </w:tc>
        <w:tc>
          <w:tcPr>
            <w:tcW w:w="6510" w:type="dxa"/>
          </w:tcPr>
          <w:p w14:paraId="6807D848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работы</w:t>
            </w:r>
          </w:p>
          <w:p w14:paraId="10013267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Горизонтальная разметка проезжей части</w:t>
            </w:r>
          </w:p>
          <w:p w14:paraId="62DD7865" w14:textId="2E8F020B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</w:t>
            </w:r>
            <w:r w:rsidR="00C57AEC"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пешеходных ограждений</w:t>
            </w:r>
          </w:p>
          <w:p w14:paraId="6560AC35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дорожных знаков на металлических стойках и </w:t>
            </w:r>
          </w:p>
          <w:p w14:paraId="48BB4E36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опорах</w:t>
            </w:r>
          </w:p>
          <w:p w14:paraId="54B4491B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дополнительных щитков дорожных знаков</w:t>
            </w:r>
          </w:p>
          <w:p w14:paraId="2C634105" w14:textId="77777777" w:rsidR="00165680" w:rsidRPr="007434B9" w:rsidRDefault="00165680" w:rsidP="001656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светофорных опор на пешеходных переходах</w:t>
            </w:r>
          </w:p>
          <w:p w14:paraId="23656255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светофоров по типу Т7 </w:t>
            </w:r>
          </w:p>
          <w:p w14:paraId="037A2256" w14:textId="1E00507B" w:rsidR="004C38DF" w:rsidRPr="007434B9" w:rsidRDefault="003327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искусственной </w:t>
            </w:r>
            <w:r w:rsidR="007042D5"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дорожной неровности на проезжей части</w:t>
            </w:r>
          </w:p>
          <w:p w14:paraId="7F83ED58" w14:textId="3762448D" w:rsidR="004C38DF" w:rsidRPr="007434B9" w:rsidRDefault="007042D5" w:rsidP="001656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Устро</w:t>
            </w:r>
            <w:r w:rsidR="00165680"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йство искусственного освещения на пешеходных переходах</w:t>
            </w:r>
          </w:p>
        </w:tc>
      </w:tr>
      <w:tr w:rsidR="004C38DF" w:rsidRPr="007434B9" w14:paraId="711DF50E" w14:textId="77777777" w:rsidTr="00F95795">
        <w:tc>
          <w:tcPr>
            <w:tcW w:w="568" w:type="dxa"/>
          </w:tcPr>
          <w:p w14:paraId="2C0BC857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9" w:type="dxa"/>
          </w:tcPr>
          <w:p w14:paraId="5B1175F1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работ:</w:t>
            </w:r>
          </w:p>
        </w:tc>
        <w:tc>
          <w:tcPr>
            <w:tcW w:w="6510" w:type="dxa"/>
          </w:tcPr>
          <w:p w14:paraId="72F781A1" w14:textId="76DA09C6" w:rsidR="00F95795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выполнения работ: с даты заключения настоящего </w:t>
            </w:r>
            <w:r w:rsidR="00F95795"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осударственного контракта. </w:t>
            </w:r>
          </w:p>
          <w:p w14:paraId="47E68235" w14:textId="1BE8F401" w:rsidR="004C38DF" w:rsidRPr="007434B9" w:rsidRDefault="007042D5" w:rsidP="00037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окончания работ </w:t>
            </w:r>
            <w:r w:rsidR="000377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 августа</w:t>
            </w:r>
            <w:r w:rsidR="004611EF" w:rsidRPr="00743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r w:rsidRPr="00743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8DF" w:rsidRPr="007434B9" w14:paraId="2AB85E3F" w14:textId="77777777" w:rsidTr="00F95795">
        <w:tc>
          <w:tcPr>
            <w:tcW w:w="568" w:type="dxa"/>
          </w:tcPr>
          <w:p w14:paraId="254F1711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9" w:type="dxa"/>
          </w:tcPr>
          <w:p w14:paraId="6634C01D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безопасности при выполнении работ:</w:t>
            </w:r>
          </w:p>
        </w:tc>
        <w:tc>
          <w:tcPr>
            <w:tcW w:w="6510" w:type="dxa"/>
          </w:tcPr>
          <w:p w14:paraId="10BB09AE" w14:textId="6C58D085" w:rsidR="004C38DF" w:rsidRPr="007434B9" w:rsidRDefault="007042D5">
            <w:pPr>
              <w:pStyle w:val="3"/>
              <w:widowControl w:val="0"/>
              <w:spacing w:before="0" w:line="240" w:lineRule="auto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434B9">
              <w:rPr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Выполнение работ производить в строгом соответствии с разработанными и согласованными с Заказчиком проектами организации дорожного движения </w:t>
            </w:r>
            <w:r w:rsidR="001A4C9F" w:rsidRPr="007434B9">
              <w:rPr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и проектной документации </w:t>
            </w:r>
            <w:r w:rsidRPr="007434B9">
              <w:rPr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>объектов и схем ограждения мест производства работ.</w:t>
            </w:r>
          </w:p>
          <w:p w14:paraId="726F1653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Схема предназначена для временной организации дорожного движения на участках обустройства пешеходных переходов вблизи общеобразовательных учреждений, контроль за движением, предупреждение аварийных ситуаций. </w:t>
            </w:r>
          </w:p>
        </w:tc>
      </w:tr>
      <w:tr w:rsidR="004C38DF" w:rsidRPr="007434B9" w14:paraId="251DE366" w14:textId="77777777" w:rsidTr="00F95795">
        <w:tc>
          <w:tcPr>
            <w:tcW w:w="568" w:type="dxa"/>
          </w:tcPr>
          <w:p w14:paraId="7E046688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9" w:type="dxa"/>
          </w:tcPr>
          <w:p w14:paraId="09DE72D6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инноваций:</w:t>
            </w:r>
          </w:p>
        </w:tc>
        <w:tc>
          <w:tcPr>
            <w:tcW w:w="6510" w:type="dxa"/>
          </w:tcPr>
          <w:p w14:paraId="35E81FEF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Применять новые материалы и технологии, согласованные в 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качестве эксперимента, повышающие технологичность и качество выполняемых работ.</w:t>
            </w:r>
          </w:p>
        </w:tc>
      </w:tr>
      <w:tr w:rsidR="004C38DF" w:rsidRPr="007434B9" w14:paraId="668F7AEF" w14:textId="77777777" w:rsidTr="00F95795">
        <w:tc>
          <w:tcPr>
            <w:tcW w:w="568" w:type="dxa"/>
          </w:tcPr>
          <w:p w14:paraId="06A99627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9" w:type="dxa"/>
          </w:tcPr>
          <w:p w14:paraId="32F1FE55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среды:</w:t>
            </w:r>
          </w:p>
        </w:tc>
        <w:tc>
          <w:tcPr>
            <w:tcW w:w="6510" w:type="dxa"/>
          </w:tcPr>
          <w:p w14:paraId="08B6C425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рекомендации, изложенные в ВСН 8-89 «Инструкция по охране природной среды при строительстве, ремонте и содержании автомобильных дорог», а также требования действующих законодательных актов и нормативных документов в области охраны природы и окружающей среды.</w:t>
            </w:r>
          </w:p>
        </w:tc>
      </w:tr>
      <w:tr w:rsidR="004C38DF" w:rsidRPr="007434B9" w14:paraId="66B66C06" w14:textId="77777777" w:rsidTr="00F95795">
        <w:tc>
          <w:tcPr>
            <w:tcW w:w="568" w:type="dxa"/>
          </w:tcPr>
          <w:p w14:paraId="296C0535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9" w:type="dxa"/>
          </w:tcPr>
          <w:p w14:paraId="301088B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материалам, установочным процессам, при производстве работ:</w:t>
            </w:r>
          </w:p>
        </w:tc>
        <w:tc>
          <w:tcPr>
            <w:tcW w:w="6510" w:type="dxa"/>
          </w:tcPr>
          <w:p w14:paraId="055897E4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знаки – оцинкованная подоснова со световозвращающей пленкой.</w:t>
            </w:r>
          </w:p>
          <w:p w14:paraId="32C7B209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стойки – оцинкованные, соответствующие ГОСТ 52290-2004.</w:t>
            </w:r>
          </w:p>
          <w:p w14:paraId="3205E38E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Хомуты стальные – соответствующие требованиям прочности и устойчивости.</w:t>
            </w:r>
          </w:p>
          <w:p w14:paraId="26F781B9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Болты с гайками и шайбами – оцинкованные.</w:t>
            </w:r>
          </w:p>
          <w:p w14:paraId="00386676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Светильники мощностью не менее 60Вт Степень защиты светильника IP65 Световой поток светильника не менее 8400 Лм</w:t>
            </w:r>
          </w:p>
          <w:p w14:paraId="0EBF5E97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Опоры для уличного освещения соответствующие требованиям ГОСТ 23118-2019</w:t>
            </w:r>
          </w:p>
          <w:p w14:paraId="5E9C704A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управления наружным освещением, </w:t>
            </w:r>
            <w:r w:rsidRPr="007434B9">
              <w:rPr>
                <w:rFonts w:ascii="Times New Roman" w:eastAsia="MS Mincho" w:hAnsi="Times New Roman" w:cs="Times New Roman"/>
                <w:sz w:val="24"/>
                <w:szCs w:val="24"/>
              </w:rPr>
              <w:t>предназначенный для управления цепями уличного и внутриквартального освещения</w:t>
            </w:r>
          </w:p>
          <w:p w14:paraId="328CC04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Пешеходные ограждения ГОСТ 59401-2021Покрытие – Горячий Цинк, ГОСТ 9.307-2021 не менее 60 мкм</w:t>
            </w:r>
          </w:p>
          <w:p w14:paraId="5CB81C7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Искусственные дорожные неровности ГОСТ Р 52605-2006.</w:t>
            </w:r>
          </w:p>
          <w:p w14:paraId="1E299498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выполняются в соответствии с установленными нормативами и стандартами. </w:t>
            </w:r>
          </w:p>
          <w:p w14:paraId="3C36530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техники безопасности и охраны труда.</w:t>
            </w:r>
          </w:p>
          <w:p w14:paraId="0B1B014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качества установки, проверка устойчивости конструкций.</w:t>
            </w:r>
          </w:p>
          <w:p w14:paraId="260D4901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выполненных работ с заказчиком.</w:t>
            </w:r>
          </w:p>
        </w:tc>
      </w:tr>
      <w:tr w:rsidR="004C38DF" w:rsidRPr="007434B9" w14:paraId="32CDE7BA" w14:textId="77777777" w:rsidTr="00F95795">
        <w:tc>
          <w:tcPr>
            <w:tcW w:w="568" w:type="dxa"/>
          </w:tcPr>
          <w:p w14:paraId="7F5B1903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9" w:type="dxa"/>
          </w:tcPr>
          <w:p w14:paraId="64DB8B7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Гарантийные сроки:</w:t>
            </w:r>
          </w:p>
        </w:tc>
        <w:tc>
          <w:tcPr>
            <w:tcW w:w="6510" w:type="dxa"/>
          </w:tcPr>
          <w:p w14:paraId="5581318F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Гарантии качества распространяются на все работы, выполненные Подрядчиком по Государственному контракту, в том числе:</w:t>
            </w:r>
          </w:p>
          <w:p w14:paraId="58572E0A" w14:textId="683A805C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Для световозвращающих материалов 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III классов - 10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лет;</w:t>
            </w:r>
          </w:p>
          <w:p w14:paraId="238E0F79" w14:textId="27175E81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Для знаков с применением световозвращающего материала II и I</w:t>
            </w:r>
            <w:r w:rsidR="007434B9">
              <w:rPr>
                <w:rFonts w:ascii="Times New Roman" w:eastAsia="Calibri" w:hAnsi="Times New Roman" w:cs="Times New Roman"/>
                <w:sz w:val="24"/>
                <w:szCs w:val="24"/>
              </w:rPr>
              <w:t>II классов - 10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BF466A2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Стойки под дорожные знаки - 5 лет;</w:t>
            </w:r>
          </w:p>
          <w:p w14:paraId="0A1207E2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Опоры для уличного освещения – 5 лет;</w:t>
            </w:r>
          </w:p>
          <w:p w14:paraId="70C510F6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Светильник - 3 года;</w:t>
            </w:r>
          </w:p>
          <w:p w14:paraId="53289F7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Шкаф управления наружным освещением – 18 месяцев;</w:t>
            </w:r>
          </w:p>
          <w:p w14:paraId="587B2419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Светофор Т7 – 3 года;</w:t>
            </w:r>
          </w:p>
          <w:p w14:paraId="0724BAF0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Дорожная разметка – 6 месяцев;</w:t>
            </w:r>
          </w:p>
          <w:p w14:paraId="27243339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- Гарантийный срок наступает с момента даты подписания КС-2, КС-3 на весь объём выполненных работ</w:t>
            </w:r>
          </w:p>
        </w:tc>
      </w:tr>
      <w:tr w:rsidR="004C38DF" w:rsidRPr="007434B9" w14:paraId="79AC082C" w14:textId="77777777" w:rsidTr="00F95795">
        <w:tc>
          <w:tcPr>
            <w:tcW w:w="568" w:type="dxa"/>
          </w:tcPr>
          <w:p w14:paraId="203F9221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9" w:type="dxa"/>
          </w:tcPr>
          <w:p w14:paraId="41D5C15F" w14:textId="4C011860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Вид договора</w:t>
            </w:r>
            <w:r w:rsidR="00F95795"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подряда:</w:t>
            </w:r>
          </w:p>
        </w:tc>
        <w:tc>
          <w:tcPr>
            <w:tcW w:w="6510" w:type="dxa"/>
          </w:tcPr>
          <w:p w14:paraId="40683AFE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контракт</w:t>
            </w:r>
          </w:p>
        </w:tc>
      </w:tr>
      <w:tr w:rsidR="004C38DF" w:rsidRPr="007434B9" w14:paraId="06831045" w14:textId="77777777" w:rsidTr="00F95795">
        <w:tc>
          <w:tcPr>
            <w:tcW w:w="568" w:type="dxa"/>
          </w:tcPr>
          <w:p w14:paraId="57C28162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9" w:type="dxa"/>
          </w:tcPr>
          <w:p w14:paraId="5BEA811D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качеству, техническим характеристикам работ, требования к 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 работ и безопасности:</w:t>
            </w:r>
          </w:p>
        </w:tc>
        <w:tc>
          <w:tcPr>
            <w:tcW w:w="6510" w:type="dxa"/>
          </w:tcPr>
          <w:p w14:paraId="4E6820AF" w14:textId="77777777" w:rsidR="004C38DF" w:rsidRPr="007434B9" w:rsidRDefault="007042D5" w:rsidP="007251C8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 должны выполняться в соответствии с требованиями нормативно-технических документов, обязательных при выполнении работ по Государственному контракту.</w:t>
            </w:r>
          </w:p>
          <w:p w14:paraId="0BBAA9AD" w14:textId="77777777" w:rsidR="004C38DF" w:rsidRPr="007434B9" w:rsidRDefault="007042D5" w:rsidP="007251C8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Все материалы, применяемые при выполнении работ, должны иметь сертификаты соответствия стандартам РФ, отвечать требованиям нормативных документов, предъявляемых к применяемым материалам, перед применением проходить входной контроль качества.</w:t>
            </w:r>
          </w:p>
          <w:p w14:paraId="130C0BFF" w14:textId="77777777" w:rsidR="004C38DF" w:rsidRPr="007434B9" w:rsidRDefault="007042D5" w:rsidP="007251C8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Подрядчик должен иметь в наличии необходимое количество техники для выполнения всего комплекса работ по настоящему Договору.</w:t>
            </w:r>
          </w:p>
          <w:p w14:paraId="5034E750" w14:textId="77777777" w:rsidR="004C38DF" w:rsidRPr="007434B9" w:rsidRDefault="007042D5" w:rsidP="007251C8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Подрядчик обеспечивает постоянное взаимодействие с подразделениями УГИБДД по согласованию возможных изменений в организации дорожного движения на автомобильных дорогах в местах проведения работ, выполняет работы по устранению замечаний по предписаниям и несет ответственность за их неисполнение.</w:t>
            </w:r>
          </w:p>
          <w:p w14:paraId="189AD250" w14:textId="77777777" w:rsidR="004C38DF" w:rsidRPr="007434B9" w:rsidRDefault="007042D5" w:rsidP="007251C8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Подрядчик представляет интересы Заказчика при проведении с компетентными органами и органами местного самоуправления, проверок за состоянием мест проведения работ.</w:t>
            </w:r>
          </w:p>
        </w:tc>
      </w:tr>
      <w:tr w:rsidR="004C38DF" w:rsidRPr="007434B9" w14:paraId="2C87383E" w14:textId="77777777" w:rsidTr="00F95795">
        <w:tc>
          <w:tcPr>
            <w:tcW w:w="568" w:type="dxa"/>
          </w:tcPr>
          <w:p w14:paraId="6D13EC4C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59" w:type="dxa"/>
          </w:tcPr>
          <w:p w14:paraId="305D1985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исполнительной и технической документации</w:t>
            </w:r>
          </w:p>
        </w:tc>
        <w:tc>
          <w:tcPr>
            <w:tcW w:w="6510" w:type="dxa"/>
          </w:tcPr>
          <w:p w14:paraId="7EA8CB2B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У каждой бригады подрядной организации на местах производства работ должны находиться соответствующие Журналы выполнения работ, схемы производства работ, схемы ограждения мест производства дорожных работ и иные документы, предусмотренные Государственным контрактом.</w:t>
            </w:r>
          </w:p>
        </w:tc>
      </w:tr>
      <w:tr w:rsidR="004C38DF" w:rsidRPr="007434B9" w14:paraId="4203F9E5" w14:textId="77777777" w:rsidTr="00F95795">
        <w:trPr>
          <w:trHeight w:val="3292"/>
        </w:trPr>
        <w:tc>
          <w:tcPr>
            <w:tcW w:w="568" w:type="dxa"/>
          </w:tcPr>
          <w:p w14:paraId="5A8573AB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9" w:type="dxa"/>
          </w:tcPr>
          <w:p w14:paraId="4CB35C75" w14:textId="77777777" w:rsidR="004C38DF" w:rsidRPr="007434B9" w:rsidRDefault="00704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результатам выполняемых работ и применяемым материалам</w:t>
            </w:r>
          </w:p>
        </w:tc>
        <w:tc>
          <w:tcPr>
            <w:tcW w:w="6510" w:type="dxa"/>
          </w:tcPr>
          <w:p w14:paraId="17EEDF94" w14:textId="77777777" w:rsidR="004C38DF" w:rsidRPr="007434B9" w:rsidRDefault="00704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B9">
              <w:rPr>
                <w:rFonts w:ascii="Times New Roman" w:eastAsia="Calibri" w:hAnsi="Times New Roman" w:cs="Times New Roman"/>
                <w:sz w:val="24"/>
                <w:szCs w:val="24"/>
              </w:rPr>
              <w:t>Главным результатом является приведение в соответствие с действующими требованиями нормативно-правовых актов и действующих стандартов пешеходных переходов в части безопасности дорожного движения. В качестве основных критериев при достижении целей, определенных Государственным контрактом, принимаются показатели бесперебойности и безопасности дорожного движения; отсутствие ДТП по дорожным условиям, а также ДТП сопутствующими условиями которых явились дорожные условия; выполнение работ в соответствии с Государственным контрактом; соответствие качества выполняемых работ по обустройству пешеходных переходов требованиям Государственного контракта.</w:t>
            </w:r>
          </w:p>
        </w:tc>
      </w:tr>
    </w:tbl>
    <w:tbl>
      <w:tblPr>
        <w:tblW w:w="992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04"/>
        <w:gridCol w:w="4819"/>
      </w:tblGrid>
      <w:tr w:rsidR="00E7569A" w:rsidRPr="007434B9" w14:paraId="0023BB61" w14:textId="77777777" w:rsidTr="00F95795">
        <w:tc>
          <w:tcPr>
            <w:tcW w:w="5104" w:type="dxa"/>
          </w:tcPr>
          <w:p w14:paraId="4D0B8E18" w14:textId="7399E258" w:rsidR="00E7569A" w:rsidRPr="007434B9" w:rsidRDefault="00E7569A" w:rsidP="00F95795">
            <w:pPr>
              <w:widowControl w:val="0"/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14:paraId="189DFDF1" w14:textId="515B4594" w:rsidR="00E7569A" w:rsidRPr="007434B9" w:rsidRDefault="00E7569A" w:rsidP="007B5F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</w:pPr>
          </w:p>
        </w:tc>
      </w:tr>
      <w:tr w:rsidR="00E7569A" w:rsidRPr="00E7569A" w14:paraId="2D14E634" w14:textId="77777777" w:rsidTr="00F95795">
        <w:tc>
          <w:tcPr>
            <w:tcW w:w="5104" w:type="dxa"/>
          </w:tcPr>
          <w:p w14:paraId="01653968" w14:textId="718D35F1" w:rsidR="00E7569A" w:rsidRPr="007434B9" w:rsidRDefault="00E7569A" w:rsidP="00F95795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14:paraId="0331EB1A" w14:textId="35890F51" w:rsidR="00E7569A" w:rsidRPr="00E7569A" w:rsidRDefault="00E7569A" w:rsidP="00F95795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58059C0" w14:textId="77777777" w:rsidR="00F95795" w:rsidRPr="00F95795" w:rsidRDefault="00F95795" w:rsidP="007251C8">
      <w:pPr>
        <w:rPr>
          <w:rFonts w:ascii="Times New Roman" w:hAnsi="Times New Roman" w:cs="Times New Roman"/>
          <w:sz w:val="24"/>
          <w:szCs w:val="24"/>
        </w:rPr>
      </w:pPr>
    </w:p>
    <w:sectPr w:rsidR="00F95795" w:rsidRPr="00F95795" w:rsidSect="000E22DA">
      <w:footerReference w:type="default" r:id="rId7"/>
      <w:pgSz w:w="11906" w:h="16838"/>
      <w:pgMar w:top="709" w:right="850" w:bottom="1134" w:left="1701" w:header="0" w:footer="287" w:gutter="0"/>
      <w:pgNumType w:start="53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EC24" w14:textId="77777777" w:rsidR="008F14F3" w:rsidRDefault="008F14F3" w:rsidP="00F95795">
      <w:pPr>
        <w:spacing w:after="0" w:line="240" w:lineRule="auto"/>
      </w:pPr>
      <w:r>
        <w:separator/>
      </w:r>
    </w:p>
  </w:endnote>
  <w:endnote w:type="continuationSeparator" w:id="0">
    <w:p w14:paraId="0B05A82E" w14:textId="77777777" w:rsidR="008F14F3" w:rsidRDefault="008F14F3" w:rsidP="00F9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8795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13BB46" w14:textId="5C95BA7F" w:rsidR="00F95795" w:rsidRPr="00643555" w:rsidRDefault="00F95795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5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5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5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75A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6435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50236A" w14:textId="77777777" w:rsidR="00F95795" w:rsidRDefault="00F957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D39F" w14:textId="77777777" w:rsidR="008F14F3" w:rsidRDefault="008F14F3" w:rsidP="00F95795">
      <w:pPr>
        <w:spacing w:after="0" w:line="240" w:lineRule="auto"/>
      </w:pPr>
      <w:r>
        <w:separator/>
      </w:r>
    </w:p>
  </w:footnote>
  <w:footnote w:type="continuationSeparator" w:id="0">
    <w:p w14:paraId="4F89838A" w14:textId="77777777" w:rsidR="008F14F3" w:rsidRDefault="008F14F3" w:rsidP="00F9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DF"/>
    <w:rsid w:val="0003775A"/>
    <w:rsid w:val="000E22DA"/>
    <w:rsid w:val="00165680"/>
    <w:rsid w:val="001A4C9F"/>
    <w:rsid w:val="002A78B0"/>
    <w:rsid w:val="00332745"/>
    <w:rsid w:val="00412362"/>
    <w:rsid w:val="00415D67"/>
    <w:rsid w:val="004611EF"/>
    <w:rsid w:val="004B43BE"/>
    <w:rsid w:val="004B5596"/>
    <w:rsid w:val="004C38DF"/>
    <w:rsid w:val="00521D8E"/>
    <w:rsid w:val="005647EF"/>
    <w:rsid w:val="00643555"/>
    <w:rsid w:val="00700DEA"/>
    <w:rsid w:val="007042D5"/>
    <w:rsid w:val="007251C8"/>
    <w:rsid w:val="007434B9"/>
    <w:rsid w:val="007B282F"/>
    <w:rsid w:val="007B5F3B"/>
    <w:rsid w:val="008134E4"/>
    <w:rsid w:val="008F14F3"/>
    <w:rsid w:val="00984057"/>
    <w:rsid w:val="00A1702A"/>
    <w:rsid w:val="00A45975"/>
    <w:rsid w:val="00A468B5"/>
    <w:rsid w:val="00AB21BF"/>
    <w:rsid w:val="00B318DE"/>
    <w:rsid w:val="00C57AEC"/>
    <w:rsid w:val="00C80452"/>
    <w:rsid w:val="00E3176A"/>
    <w:rsid w:val="00E7569A"/>
    <w:rsid w:val="00EB56BD"/>
    <w:rsid w:val="00F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A815E"/>
  <w15:docId w15:val="{BA13EB4D-1D4E-43CA-92D2-0746CE6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46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53E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3B464C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B53E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EE78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C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5795"/>
  </w:style>
  <w:style w:type="paragraph" w:styleId="ad">
    <w:name w:val="footer"/>
    <w:basedOn w:val="a"/>
    <w:link w:val="ae"/>
    <w:uiPriority w:val="99"/>
    <w:unhideWhenUsed/>
    <w:rsid w:val="00F9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678D-9162-4DD0-B092-85D03135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34</cp:revision>
  <cp:lastPrinted>2025-06-27T09:21:00Z</cp:lastPrinted>
  <dcterms:created xsi:type="dcterms:W3CDTF">2025-07-23T13:23:00Z</dcterms:created>
  <dcterms:modified xsi:type="dcterms:W3CDTF">2026-04-23T10:27:00Z</dcterms:modified>
  <dc:language>ru-RU</dc:language>
</cp:coreProperties>
</file>